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color w:val="D00000"/>
          <w:sz w:val="36"/>
          <w:szCs w:val="36"/>
        </w:rPr>
      </w:pPr>
      <w:r>
        <w:rPr>
          <w:i w:val="0"/>
          <w:caps w:val="0"/>
          <w:color w:val="D00000"/>
          <w:spacing w:val="0"/>
          <w:sz w:val="36"/>
          <w:szCs w:val="36"/>
          <w:shd w:val="clear" w:fill="FFFFFF"/>
        </w:rPr>
        <w:t>关于发布熊猫普制金币增值税普通发票开具流程的通知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各会员单位：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 w:firstLine="42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上海黄金交易所对熊猫普制金币的买方（企业）按照实际成交价格每月定期集中开具增值税普通发票（以下简称普通发票）。会员单位须授权专人统一收取普通发票。会员单位代理客户的普通发票由会员单位转交。开票周期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 w:firstLine="42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普通发票每月集中开具一次，每月一日至二十日为一个开票周期，统一在二十日开具（二十日若遇节假日则视具体情况提前或顺延），当月二十日（含当日）以后发生的熊猫普制金币交易，其普通发票于下一个开票期内开具。如需当月取得二十日至月末发生的熊猫普制金币交易普通发票，须以书面（传真）方式提出开票申请，书面申请需加盖单位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 w:firstLine="420"/>
        <w:jc w:val="righ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上海黄金交易所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2018年8月28日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关于发布熊猫普制金币增值税普通发票开具流程的通知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831"/>
        </w:tabs>
        <w:spacing w:before="300" w:beforeAutospacing="0" w:after="0" w:afterAutospacing="0" w:line="450" w:lineRule="atLeast"/>
        <w:ind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ab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A6065"/>
    <w:rsid w:val="1A4A6065"/>
    <w:rsid w:val="5CF118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2018-08-30T09:47:00Z</dcterms:created>
  <dc:creator>潼話℡蔠、倃湜潼話</dc:creator>
  <cp:lastModifiedBy>星空</cp:lastModifiedBy>
  <dcterms:modified xsi:type="dcterms:W3CDTF">2018-08-30T09:55:34Z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